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56" w:rsidRDefault="00214256">
      <w:pPr>
        <w:pStyle w:val="ConsPlusTitle"/>
        <w:jc w:val="center"/>
      </w:pPr>
      <w:r>
        <w:t>МИНИСТЕРСТВО ЗДРАВООХРАНЕНИЯ РОССИЙСКОЙ ФЕДЕРАЦИИ</w:t>
      </w:r>
    </w:p>
    <w:p w:rsidR="00214256" w:rsidRDefault="00214256">
      <w:pPr>
        <w:pStyle w:val="ConsPlusTitle"/>
        <w:jc w:val="center"/>
      </w:pPr>
    </w:p>
    <w:p w:rsidR="00214256" w:rsidRDefault="00214256">
      <w:pPr>
        <w:pStyle w:val="ConsPlusTitle"/>
        <w:jc w:val="center"/>
      </w:pPr>
      <w:r>
        <w:t>ПИСЬМО</w:t>
      </w:r>
    </w:p>
    <w:p w:rsidR="00214256" w:rsidRDefault="00214256">
      <w:pPr>
        <w:pStyle w:val="ConsPlusTitle"/>
        <w:jc w:val="center"/>
      </w:pPr>
      <w:r>
        <w:t>от 27 декабря 2013 г. N 13-2/10/2-9886</w:t>
      </w:r>
    </w:p>
    <w:p w:rsidR="00214256" w:rsidRDefault="00214256">
      <w:pPr>
        <w:pStyle w:val="ConsPlusNormal"/>
        <w:jc w:val="center"/>
      </w:pPr>
    </w:p>
    <w:p w:rsidR="00214256" w:rsidRPr="004F7D3E" w:rsidRDefault="00214256">
      <w:pPr>
        <w:pStyle w:val="ConsPlusNormal"/>
        <w:ind w:firstLine="540"/>
        <w:jc w:val="both"/>
      </w:pPr>
      <w:r>
        <w:t xml:space="preserve">В </w:t>
      </w:r>
      <w:r w:rsidRPr="004F7D3E">
        <w:t xml:space="preserve">соответствии с </w:t>
      </w:r>
      <w:hyperlink r:id="rId4" w:history="1">
        <w:r w:rsidRPr="004F7D3E">
          <w:t>пунктом 3</w:t>
        </w:r>
      </w:hyperlink>
      <w:r w:rsidRPr="004F7D3E">
        <w:t xml:space="preserve"> Указа Президента Российской Федерации от 7 мая 2012 г. N 598 "О совершенствовании государственной политики в сфере здравоохранения" органам исполнительной власти субъектов Российской Федерации поручено ежегодно, в I квартале, представлять в Правительство Российской Федерации "Доклад о состоянии здоровья населения и организации здравоохранения по итогам деятельности за отчетный год" (далее - Доклад).</w:t>
      </w:r>
    </w:p>
    <w:p w:rsidR="00214256" w:rsidRDefault="00214256">
      <w:pPr>
        <w:pStyle w:val="ConsPlusNormal"/>
        <w:ind w:firstLine="540"/>
        <w:jc w:val="both"/>
      </w:pPr>
      <w:r w:rsidRPr="004F7D3E">
        <w:t xml:space="preserve">Министерство здравоохранения Российской Федерации направляет методические </w:t>
      </w:r>
      <w:hyperlink w:anchor="P17" w:history="1">
        <w:r w:rsidRPr="004F7D3E">
          <w:t>рекомендации</w:t>
        </w:r>
      </w:hyperlink>
      <w:r w:rsidRPr="004F7D3E">
        <w:t xml:space="preserve"> по подготовке доклада органов исполнительной власти субъектов Российской Федерации о состоянии здоровья </w:t>
      </w:r>
      <w:r>
        <w:t>населения и организации здравоохранения по итогам деятельности за отчетный год, которыми необходимо руководствоваться при подготовке Доклада по субъекту Российской Федерации.</w:t>
      </w:r>
    </w:p>
    <w:p w:rsidR="00214256" w:rsidRDefault="00214256">
      <w:pPr>
        <w:pStyle w:val="ConsPlusNormal"/>
        <w:ind w:firstLine="540"/>
        <w:jc w:val="both"/>
      </w:pPr>
      <w:r>
        <w:t>Электронный вариант Доклада должен быть направлен по электронной почте в Минздрав России (HahalinaEV@rosminzdrav.ru) и в Национальный НИИ общественного здоровья (institute@niph.ru). Электронный адрес контактного лица просьба сообщить до 31 января 2014 года.</w:t>
      </w:r>
    </w:p>
    <w:p w:rsidR="00214256" w:rsidRDefault="00214256">
      <w:pPr>
        <w:pStyle w:val="ConsPlusNormal"/>
        <w:ind w:firstLine="540"/>
        <w:jc w:val="both"/>
      </w:pPr>
    </w:p>
    <w:p w:rsidR="00214256" w:rsidRDefault="00214256">
      <w:pPr>
        <w:pStyle w:val="ConsPlusNormal"/>
        <w:jc w:val="right"/>
      </w:pPr>
      <w:r>
        <w:t>Заместитель Министра</w:t>
      </w:r>
    </w:p>
    <w:p w:rsidR="00214256" w:rsidRDefault="00214256">
      <w:pPr>
        <w:pStyle w:val="ConsPlusNormal"/>
        <w:jc w:val="right"/>
      </w:pPr>
      <w:r>
        <w:t>А.З.ФАРРАХОВ</w:t>
      </w:r>
    </w:p>
    <w:p w:rsidR="00214256" w:rsidRDefault="00214256">
      <w:pPr>
        <w:pStyle w:val="ConsPlusNormal"/>
        <w:ind w:firstLine="540"/>
        <w:jc w:val="both"/>
      </w:pPr>
    </w:p>
    <w:p w:rsidR="00214256" w:rsidRDefault="00214256">
      <w:pPr>
        <w:pStyle w:val="ConsPlusNormal"/>
        <w:ind w:firstLine="540"/>
        <w:jc w:val="both"/>
      </w:pPr>
    </w:p>
    <w:p w:rsidR="00214256" w:rsidRDefault="00214256">
      <w:pPr>
        <w:pStyle w:val="ConsPlusNormal"/>
        <w:ind w:firstLine="540"/>
        <w:jc w:val="both"/>
      </w:pPr>
    </w:p>
    <w:p w:rsidR="00214256" w:rsidRDefault="00214256">
      <w:pPr>
        <w:pStyle w:val="ConsPlusNormal"/>
        <w:ind w:firstLine="540"/>
        <w:jc w:val="both"/>
      </w:pPr>
    </w:p>
    <w:p w:rsidR="00214256" w:rsidRDefault="00214256">
      <w:pPr>
        <w:pStyle w:val="ConsPlusNormal"/>
        <w:ind w:firstLine="540"/>
        <w:jc w:val="both"/>
      </w:pPr>
    </w:p>
    <w:p w:rsidR="00214256" w:rsidRDefault="00214256">
      <w:pPr>
        <w:pStyle w:val="ConsPlusTitle"/>
        <w:jc w:val="center"/>
      </w:pPr>
      <w:bookmarkStart w:id="0" w:name="P17"/>
      <w:bookmarkEnd w:id="0"/>
      <w:r>
        <w:t>МЕТОДИЧЕСКИЕ РЕКОМЕНДАЦИИ</w:t>
      </w:r>
    </w:p>
    <w:p w:rsidR="00214256" w:rsidRDefault="00214256">
      <w:pPr>
        <w:pStyle w:val="ConsPlusTitle"/>
        <w:jc w:val="center"/>
      </w:pPr>
      <w:r>
        <w:t>ПО ПОДГОТОВКЕ ДОКЛАДА ОРГАНОВ ИСПОЛНИТЕЛЬНОЙ ВЛАСТИ</w:t>
      </w:r>
    </w:p>
    <w:p w:rsidR="00214256" w:rsidRDefault="00214256">
      <w:pPr>
        <w:pStyle w:val="ConsPlusTitle"/>
        <w:jc w:val="center"/>
      </w:pPr>
      <w:r>
        <w:t>СУБЪЕКТОВ РОССИЙСКОЙ ФЕДЕРАЦИИ О СОСТОЯНИИ ЗДОРОВЬЯ</w:t>
      </w:r>
    </w:p>
    <w:p w:rsidR="00214256" w:rsidRDefault="00214256">
      <w:pPr>
        <w:pStyle w:val="ConsPlusTitle"/>
        <w:jc w:val="center"/>
      </w:pPr>
      <w:r>
        <w:t>НАСЕЛЕНИЯ И ОРГАНИЗАЦИИ ЗДРАВООХРАНЕНИЯ ПО ИТОГАМ</w:t>
      </w:r>
    </w:p>
    <w:p w:rsidR="00214256" w:rsidRPr="004F7D3E" w:rsidRDefault="00214256">
      <w:pPr>
        <w:pStyle w:val="ConsPlusTitle"/>
        <w:jc w:val="center"/>
      </w:pPr>
      <w:r w:rsidRPr="004F7D3E">
        <w:t>ДЕЯТЕЛЬНОСТИ ЗА ОТЧЕТНЫЙ ГОД, ПОДГОТАВЛИВАЕМОГО</w:t>
      </w:r>
    </w:p>
    <w:p w:rsidR="00214256" w:rsidRPr="004F7D3E" w:rsidRDefault="00214256">
      <w:pPr>
        <w:pStyle w:val="ConsPlusTitle"/>
        <w:jc w:val="center"/>
      </w:pPr>
      <w:r w:rsidRPr="004F7D3E">
        <w:t xml:space="preserve">В СООТВЕТСТВИИ С </w:t>
      </w:r>
      <w:hyperlink r:id="rId5" w:history="1">
        <w:r w:rsidRPr="004F7D3E">
          <w:t>УКАЗОМ</w:t>
        </w:r>
      </w:hyperlink>
      <w:r w:rsidRPr="004F7D3E">
        <w:t xml:space="preserve"> ПРЕЗИДЕНТА РОССИЙСКОЙ ФЕДЕРАЦИИ</w:t>
      </w:r>
    </w:p>
    <w:p w:rsidR="00214256" w:rsidRPr="004F7D3E" w:rsidRDefault="00214256">
      <w:pPr>
        <w:pStyle w:val="ConsPlusTitle"/>
        <w:jc w:val="center"/>
      </w:pPr>
      <w:r w:rsidRPr="004F7D3E">
        <w:t>ОТ 7 МАЯ 2012 ГОДА N 598 "О СОВЕРШЕНСТВОВАНИИ</w:t>
      </w:r>
    </w:p>
    <w:p w:rsidR="00214256" w:rsidRPr="004F7D3E" w:rsidRDefault="00214256">
      <w:pPr>
        <w:pStyle w:val="ConsPlusTitle"/>
        <w:jc w:val="center"/>
      </w:pPr>
      <w:r w:rsidRPr="004F7D3E">
        <w:t>ГОСУДАРСТВЕННОЙ ПОЛИТИКИ В СФЕРЕ ЗДРАВООХРАНЕНИЯ"</w:t>
      </w:r>
    </w:p>
    <w:p w:rsidR="00214256" w:rsidRPr="004F7D3E" w:rsidRDefault="00214256">
      <w:pPr>
        <w:pStyle w:val="ConsPlusNormal"/>
        <w:jc w:val="center"/>
      </w:pPr>
    </w:p>
    <w:p w:rsidR="00214256" w:rsidRPr="004F7D3E" w:rsidRDefault="00214256">
      <w:pPr>
        <w:pStyle w:val="ConsPlusNormal"/>
        <w:ind w:firstLine="540"/>
        <w:jc w:val="both"/>
      </w:pPr>
      <w:r w:rsidRPr="004F7D3E">
        <w:t>Методические рекомендации разработаны в целях систематизации и унификации требований, применяемых к аналитической информации, используемой для подготовки доклада органов исполнительной власти субъектов Российской Федерации о состоянии здоровья населения и организации здравоохранения по итогам деятельности за отчетный год (далее - Доклад).</w:t>
      </w:r>
    </w:p>
    <w:p w:rsidR="00214256" w:rsidRPr="004F7D3E" w:rsidRDefault="00214256">
      <w:pPr>
        <w:pStyle w:val="ConsPlusNormal"/>
        <w:ind w:firstLine="540"/>
        <w:jc w:val="both"/>
      </w:pPr>
      <w:r w:rsidRPr="004F7D3E">
        <w:t>При подготовке Доклада используются официальные данные федерального и отраслевого статистического наблюдения.</w:t>
      </w:r>
    </w:p>
    <w:p w:rsidR="00214256" w:rsidRPr="004F7D3E" w:rsidRDefault="00214256">
      <w:pPr>
        <w:pStyle w:val="ConsPlusNormal"/>
        <w:ind w:firstLine="540"/>
        <w:jc w:val="both"/>
      </w:pPr>
      <w:r w:rsidRPr="004F7D3E">
        <w:t>Методические рекомендации включают:</w:t>
      </w:r>
    </w:p>
    <w:p w:rsidR="00214256" w:rsidRPr="004F7D3E" w:rsidRDefault="00214256">
      <w:pPr>
        <w:pStyle w:val="ConsPlusNormal"/>
        <w:ind w:firstLine="540"/>
        <w:jc w:val="both"/>
      </w:pPr>
      <w:r w:rsidRPr="004F7D3E">
        <w:t>- общие принципы системы аналитической информации;</w:t>
      </w:r>
    </w:p>
    <w:p w:rsidR="00214256" w:rsidRPr="004F7D3E" w:rsidRDefault="00214256">
      <w:pPr>
        <w:pStyle w:val="ConsPlusNormal"/>
        <w:ind w:firstLine="540"/>
        <w:jc w:val="both"/>
      </w:pPr>
      <w:r w:rsidRPr="004F7D3E">
        <w:t xml:space="preserve">- </w:t>
      </w:r>
      <w:hyperlink w:anchor="P51" w:history="1">
        <w:r w:rsidRPr="004F7D3E">
          <w:t>структуру</w:t>
        </w:r>
      </w:hyperlink>
      <w:r w:rsidRPr="004F7D3E">
        <w:t xml:space="preserve"> Доклада (Приложение 1);</w:t>
      </w:r>
    </w:p>
    <w:p w:rsidR="00214256" w:rsidRPr="004F7D3E" w:rsidRDefault="00214256">
      <w:pPr>
        <w:pStyle w:val="ConsPlusNormal"/>
        <w:ind w:firstLine="540"/>
        <w:jc w:val="both"/>
      </w:pPr>
      <w:r w:rsidRPr="004F7D3E">
        <w:t xml:space="preserve">- </w:t>
      </w:r>
      <w:hyperlink w:anchor="P149" w:history="1">
        <w:r w:rsidRPr="004F7D3E">
          <w:t>перечень</w:t>
        </w:r>
      </w:hyperlink>
      <w:r w:rsidRPr="004F7D3E">
        <w:t xml:space="preserve"> показателей федеральной и отраслевой статистической отчетности, используемый для анализа (Приложение 2).</w:t>
      </w:r>
    </w:p>
    <w:p w:rsidR="00214256" w:rsidRPr="004F7D3E" w:rsidRDefault="00214256">
      <w:pPr>
        <w:pStyle w:val="ConsPlusNormal"/>
        <w:ind w:firstLine="540"/>
        <w:jc w:val="both"/>
      </w:pPr>
    </w:p>
    <w:p w:rsidR="00214256" w:rsidRPr="004F7D3E" w:rsidRDefault="00214256">
      <w:pPr>
        <w:pStyle w:val="ConsPlusNormal"/>
        <w:ind w:firstLine="540"/>
        <w:jc w:val="both"/>
      </w:pPr>
      <w:r w:rsidRPr="004F7D3E">
        <w:t xml:space="preserve">Материалы должны быть представлены в соответствии со </w:t>
      </w:r>
      <w:hyperlink w:anchor="P51" w:history="1">
        <w:r w:rsidRPr="004F7D3E">
          <w:t>структурой</w:t>
        </w:r>
      </w:hyperlink>
      <w:r w:rsidRPr="004F7D3E">
        <w:t xml:space="preserve"> доклада, по разделам и содержать информацию, отражающую изменения в анализируемом явлении за последние 3 года, включая прогнозные и фактические показатели за отчетный год.</w:t>
      </w:r>
    </w:p>
    <w:p w:rsidR="00214256" w:rsidRPr="004F7D3E" w:rsidRDefault="00214256">
      <w:pPr>
        <w:pStyle w:val="ConsPlusNormal"/>
        <w:ind w:firstLine="540"/>
        <w:jc w:val="both"/>
      </w:pPr>
      <w:r w:rsidRPr="004F7D3E">
        <w:t>В Докладе должны быть отражены сведения о ходе реализации программ развития здравоохранения субъектов Российской Федерации и достижении предусмотренных ими целевых индикаторов.</w:t>
      </w:r>
    </w:p>
    <w:p w:rsidR="00214256" w:rsidRDefault="00214256">
      <w:pPr>
        <w:pStyle w:val="ConsPlusNormal"/>
        <w:ind w:firstLine="540"/>
        <w:jc w:val="both"/>
      </w:pPr>
      <w:r w:rsidRPr="004F7D3E">
        <w:t xml:space="preserve">В представляемых материалах необходимо дать анализ причин и динамики изменений, </w:t>
      </w:r>
      <w:r w:rsidRPr="004F7D3E">
        <w:lastRenderedPageBreak/>
        <w:t>произошедших с предыдущего года, в том числе оценить результаты совер</w:t>
      </w:r>
      <w:r>
        <w:t>шенствования организационных мероприятий, применяемых для достижения результата.</w:t>
      </w:r>
    </w:p>
    <w:p w:rsidR="00214256" w:rsidRDefault="00214256">
      <w:pPr>
        <w:pStyle w:val="ConsPlusNormal"/>
        <w:ind w:firstLine="540"/>
        <w:jc w:val="both"/>
      </w:pPr>
      <w:r>
        <w:t>Представляемый материал должен содержать, кроме текстовой части, таблицы и графические материалы.</w:t>
      </w:r>
    </w:p>
    <w:p w:rsidR="00214256" w:rsidRDefault="00214256">
      <w:pPr>
        <w:pStyle w:val="ConsPlusNormal"/>
        <w:jc w:val="center"/>
      </w:pPr>
    </w:p>
    <w:p w:rsidR="00214256" w:rsidRDefault="00214256">
      <w:pPr>
        <w:pStyle w:val="ConsPlusNormal"/>
        <w:ind w:firstLine="540"/>
        <w:jc w:val="both"/>
      </w:pPr>
    </w:p>
    <w:p w:rsidR="00214256" w:rsidRDefault="00214256">
      <w:pPr>
        <w:pStyle w:val="ConsPlusNormal"/>
        <w:ind w:firstLine="540"/>
        <w:jc w:val="both"/>
      </w:pPr>
    </w:p>
    <w:p w:rsidR="00214256" w:rsidRDefault="00214256">
      <w:pPr>
        <w:pStyle w:val="ConsPlusNormal"/>
        <w:ind w:firstLine="540"/>
        <w:jc w:val="both"/>
      </w:pPr>
    </w:p>
    <w:p w:rsidR="00214256" w:rsidRDefault="00214256">
      <w:pPr>
        <w:pStyle w:val="ConsPlusNormal"/>
        <w:ind w:firstLine="540"/>
        <w:jc w:val="both"/>
      </w:pPr>
    </w:p>
    <w:p w:rsidR="00214256" w:rsidRDefault="00214256">
      <w:pPr>
        <w:pStyle w:val="ConsPlusNormal"/>
        <w:jc w:val="right"/>
      </w:pPr>
      <w:r>
        <w:t>Приложение 1</w:t>
      </w:r>
    </w:p>
    <w:p w:rsidR="00214256" w:rsidRDefault="00214256">
      <w:pPr>
        <w:pStyle w:val="ConsPlusNormal"/>
        <w:jc w:val="right"/>
      </w:pPr>
      <w:r>
        <w:t>к методическим рекомендациям</w:t>
      </w:r>
    </w:p>
    <w:p w:rsidR="00214256" w:rsidRDefault="00214256">
      <w:pPr>
        <w:pStyle w:val="ConsPlusNormal"/>
        <w:jc w:val="right"/>
      </w:pPr>
      <w:r>
        <w:t>по подготовке доклада органов</w:t>
      </w:r>
    </w:p>
    <w:p w:rsidR="00214256" w:rsidRDefault="00214256">
      <w:pPr>
        <w:pStyle w:val="ConsPlusNormal"/>
        <w:jc w:val="right"/>
      </w:pPr>
      <w:r>
        <w:t>исполнительной власти субъектов</w:t>
      </w:r>
    </w:p>
    <w:p w:rsidR="00214256" w:rsidRDefault="00214256">
      <w:pPr>
        <w:pStyle w:val="ConsPlusNormal"/>
        <w:jc w:val="right"/>
      </w:pPr>
      <w:r>
        <w:t>Российской Федерации о состоянии</w:t>
      </w:r>
    </w:p>
    <w:p w:rsidR="00214256" w:rsidRDefault="00214256">
      <w:pPr>
        <w:pStyle w:val="ConsPlusNormal"/>
        <w:jc w:val="right"/>
      </w:pPr>
      <w:r>
        <w:t>здоровья населения и организации</w:t>
      </w:r>
    </w:p>
    <w:p w:rsidR="00214256" w:rsidRDefault="00214256">
      <w:pPr>
        <w:pStyle w:val="ConsPlusNormal"/>
        <w:jc w:val="right"/>
      </w:pPr>
      <w:r>
        <w:t>здравоохранения по итогам</w:t>
      </w:r>
    </w:p>
    <w:p w:rsidR="00214256" w:rsidRDefault="00214256">
      <w:pPr>
        <w:pStyle w:val="ConsPlusNormal"/>
        <w:jc w:val="right"/>
      </w:pPr>
      <w:r>
        <w:t>деятельности за отчетный год</w:t>
      </w:r>
    </w:p>
    <w:p w:rsidR="00214256" w:rsidRDefault="00214256">
      <w:pPr>
        <w:pStyle w:val="ConsPlusNormal"/>
        <w:ind w:firstLine="540"/>
        <w:jc w:val="both"/>
      </w:pPr>
    </w:p>
    <w:p w:rsidR="00214256" w:rsidRDefault="00214256">
      <w:pPr>
        <w:pStyle w:val="ConsPlusNormal"/>
        <w:jc w:val="center"/>
      </w:pPr>
      <w:bookmarkStart w:id="1" w:name="P51"/>
      <w:bookmarkEnd w:id="1"/>
      <w:r>
        <w:t>СТРУКТУРА</w:t>
      </w:r>
    </w:p>
    <w:p w:rsidR="00214256" w:rsidRDefault="00214256">
      <w:pPr>
        <w:pStyle w:val="ConsPlusNormal"/>
        <w:jc w:val="center"/>
      </w:pPr>
      <w:r>
        <w:t>ДОКЛАДА ОРГАНОВ ИСПОЛНИТЕЛЬНОЙ ВЛАСТИ СУБЪЕКТОВ</w:t>
      </w:r>
    </w:p>
    <w:p w:rsidR="00214256" w:rsidRDefault="00214256">
      <w:pPr>
        <w:pStyle w:val="ConsPlusNormal"/>
        <w:jc w:val="center"/>
      </w:pPr>
      <w:r>
        <w:t>РОССИЙСКОЙ ФЕДЕРАЦИИ О СОСТОЯНИИ ЗДОРОВЬЯ НАСЕЛЕНИЯ</w:t>
      </w:r>
    </w:p>
    <w:p w:rsidR="00214256" w:rsidRDefault="00214256">
      <w:pPr>
        <w:pStyle w:val="ConsPlusNormal"/>
        <w:jc w:val="center"/>
      </w:pPr>
      <w:r>
        <w:t>И ОРГАНИЗАЦИИ ЗДРАВООХРАНЕНИЯ ПО ИТОГАМ ДЕЯТЕЛЬНОСТИ</w:t>
      </w:r>
    </w:p>
    <w:p w:rsidR="00214256" w:rsidRDefault="00214256">
      <w:pPr>
        <w:pStyle w:val="ConsPlusNormal"/>
        <w:jc w:val="center"/>
      </w:pPr>
      <w:r>
        <w:t>ЗА ОТЧЕТНЫЙ ГОД</w:t>
      </w:r>
    </w:p>
    <w:p w:rsidR="00214256" w:rsidRDefault="00214256">
      <w:pPr>
        <w:pStyle w:val="ConsPlusNormal"/>
        <w:ind w:firstLine="540"/>
        <w:jc w:val="both"/>
      </w:pPr>
    </w:p>
    <w:p w:rsidR="00214256" w:rsidRPr="004F7D3E" w:rsidRDefault="004F7D3E">
      <w:pPr>
        <w:pStyle w:val="ConsPlusNormal"/>
        <w:ind w:firstLine="540"/>
        <w:jc w:val="both"/>
      </w:pPr>
      <w:hyperlink w:anchor="P67" w:history="1">
        <w:r w:rsidR="00214256" w:rsidRPr="004F7D3E">
          <w:t>Раздел 1</w:t>
        </w:r>
      </w:hyperlink>
      <w:r w:rsidR="00214256" w:rsidRPr="004F7D3E">
        <w:t>. Медико-демографические показатели здоровья населения</w:t>
      </w:r>
    </w:p>
    <w:p w:rsidR="00214256" w:rsidRPr="004F7D3E" w:rsidRDefault="004F7D3E">
      <w:pPr>
        <w:pStyle w:val="ConsPlusNormal"/>
        <w:ind w:firstLine="540"/>
        <w:jc w:val="both"/>
      </w:pPr>
      <w:hyperlink w:anchor="P73" w:history="1">
        <w:r w:rsidR="00214256" w:rsidRPr="004F7D3E">
          <w:t>Раздел 2</w:t>
        </w:r>
      </w:hyperlink>
      <w:r w:rsidR="00214256" w:rsidRPr="004F7D3E">
        <w:t>. Общая заболеваемость населения</w:t>
      </w:r>
    </w:p>
    <w:p w:rsidR="00214256" w:rsidRPr="004F7D3E" w:rsidRDefault="004F7D3E">
      <w:pPr>
        <w:pStyle w:val="ConsPlusNormal"/>
        <w:ind w:firstLine="540"/>
        <w:jc w:val="both"/>
      </w:pPr>
      <w:hyperlink w:anchor="P78" w:history="1">
        <w:r w:rsidR="00214256" w:rsidRPr="004F7D3E">
          <w:t>Раздел 3</w:t>
        </w:r>
      </w:hyperlink>
      <w:r w:rsidR="00214256" w:rsidRPr="004F7D3E">
        <w:t>. Охрана здоровья матери и ребенка</w:t>
      </w:r>
    </w:p>
    <w:p w:rsidR="00214256" w:rsidRPr="004F7D3E" w:rsidRDefault="004F7D3E">
      <w:pPr>
        <w:pStyle w:val="ConsPlusNormal"/>
        <w:ind w:firstLine="540"/>
        <w:jc w:val="both"/>
      </w:pPr>
      <w:hyperlink w:anchor="P83" w:history="1">
        <w:r w:rsidR="00214256" w:rsidRPr="004F7D3E">
          <w:t>Раздел 4</w:t>
        </w:r>
      </w:hyperlink>
      <w:r w:rsidR="00214256" w:rsidRPr="004F7D3E">
        <w:t>. Медицинская помощь населению</w:t>
      </w:r>
    </w:p>
    <w:p w:rsidR="00214256" w:rsidRPr="004F7D3E" w:rsidRDefault="004F7D3E">
      <w:pPr>
        <w:pStyle w:val="ConsPlusNormal"/>
        <w:ind w:firstLine="540"/>
        <w:jc w:val="both"/>
      </w:pPr>
      <w:hyperlink w:anchor="P101" w:history="1">
        <w:r w:rsidR="00214256" w:rsidRPr="004F7D3E">
          <w:t>Раздел 5</w:t>
        </w:r>
      </w:hyperlink>
      <w:r w:rsidR="00214256" w:rsidRPr="004F7D3E">
        <w:t>. Обеспеченность лекарственными средствами</w:t>
      </w:r>
    </w:p>
    <w:p w:rsidR="00214256" w:rsidRPr="004F7D3E" w:rsidRDefault="004F7D3E">
      <w:pPr>
        <w:pStyle w:val="ConsPlusNormal"/>
        <w:ind w:firstLine="540"/>
        <w:jc w:val="both"/>
      </w:pPr>
      <w:hyperlink w:anchor="P105" w:history="1">
        <w:r w:rsidR="00214256" w:rsidRPr="004F7D3E">
          <w:t>Раздел 6</w:t>
        </w:r>
      </w:hyperlink>
      <w:r w:rsidR="00214256" w:rsidRPr="004F7D3E">
        <w:t>. Профилактика заболеваний и формирование здорового образа жизни</w:t>
      </w:r>
    </w:p>
    <w:p w:rsidR="00214256" w:rsidRPr="004F7D3E" w:rsidRDefault="004F7D3E">
      <w:pPr>
        <w:pStyle w:val="ConsPlusNormal"/>
        <w:ind w:firstLine="540"/>
        <w:jc w:val="both"/>
      </w:pPr>
      <w:hyperlink w:anchor="P123" w:history="1">
        <w:r w:rsidR="00214256" w:rsidRPr="004F7D3E">
          <w:t>Раздел 7</w:t>
        </w:r>
      </w:hyperlink>
      <w:r w:rsidR="00214256" w:rsidRPr="004F7D3E">
        <w:t>. Развитие и внедрение инновационных методов диагностики и лечения</w:t>
      </w:r>
    </w:p>
    <w:p w:rsidR="00214256" w:rsidRPr="004F7D3E" w:rsidRDefault="004F7D3E">
      <w:pPr>
        <w:pStyle w:val="ConsPlusNormal"/>
        <w:ind w:firstLine="540"/>
        <w:jc w:val="both"/>
      </w:pPr>
      <w:hyperlink w:anchor="P128" w:history="1">
        <w:r w:rsidR="00214256" w:rsidRPr="004F7D3E">
          <w:t>Раздел 8</w:t>
        </w:r>
      </w:hyperlink>
      <w:r w:rsidR="00214256" w:rsidRPr="004F7D3E">
        <w:t>. Кадровое обеспечение системы здравоохранения</w:t>
      </w:r>
    </w:p>
    <w:p w:rsidR="00214256" w:rsidRPr="004F7D3E" w:rsidRDefault="004F7D3E">
      <w:pPr>
        <w:pStyle w:val="ConsPlusNormal"/>
        <w:ind w:firstLine="540"/>
        <w:jc w:val="both"/>
      </w:pPr>
      <w:hyperlink w:anchor="P132" w:history="1">
        <w:r w:rsidR="00214256" w:rsidRPr="004F7D3E">
          <w:t>Раздел 9</w:t>
        </w:r>
      </w:hyperlink>
      <w:r w:rsidR="00214256" w:rsidRPr="004F7D3E">
        <w:t>. Финансовое обеспечение оказания медицинской помощи</w:t>
      </w:r>
    </w:p>
    <w:p w:rsidR="00214256" w:rsidRPr="004F7D3E" w:rsidRDefault="00214256">
      <w:pPr>
        <w:pStyle w:val="ConsPlusNormal"/>
        <w:ind w:firstLine="540"/>
        <w:jc w:val="both"/>
      </w:pPr>
    </w:p>
    <w:p w:rsidR="00214256" w:rsidRDefault="00214256">
      <w:pPr>
        <w:pStyle w:val="ConsPlusNormal"/>
        <w:jc w:val="center"/>
      </w:pPr>
      <w:bookmarkStart w:id="2" w:name="P67"/>
      <w:bookmarkEnd w:id="2"/>
      <w:r>
        <w:t>Раздел 1. Медико-демографические показатели</w:t>
      </w:r>
    </w:p>
    <w:p w:rsidR="00214256" w:rsidRDefault="00214256">
      <w:pPr>
        <w:pStyle w:val="ConsPlusNormal"/>
        <w:jc w:val="center"/>
      </w:pPr>
      <w:r>
        <w:t>здоровья населения</w:t>
      </w:r>
    </w:p>
    <w:p w:rsidR="00214256" w:rsidRDefault="00214256">
      <w:pPr>
        <w:pStyle w:val="ConsPlusNormal"/>
        <w:ind w:firstLine="540"/>
        <w:jc w:val="both"/>
      </w:pPr>
    </w:p>
    <w:p w:rsidR="00214256" w:rsidRDefault="00214256">
      <w:pPr>
        <w:pStyle w:val="ConsPlusNormal"/>
        <w:ind w:firstLine="540"/>
        <w:jc w:val="both"/>
      </w:pPr>
      <w:r>
        <w:t>Источниками информации для анализа медико-демографических показателей являются официальные данные Федеральной службы государственной статистики и территориальных органов государственной статистики и включают показатели численности населения, рождаемости, смертности, в том числе по отдельным причинам смерти, младенческой и материнской смертности, естественному приросту населения.</w:t>
      </w:r>
    </w:p>
    <w:p w:rsidR="00214256" w:rsidRDefault="00214256">
      <w:pPr>
        <w:pStyle w:val="ConsPlusNormal"/>
        <w:ind w:firstLine="540"/>
        <w:jc w:val="both"/>
      </w:pPr>
      <w:r>
        <w:t>Рекомендуется анализировать показатели смертности от новообразований, от болезней системы кровообращения, от туберкулеза, дорожно-транспортных происшествий, младенческой и материнской смертности.</w:t>
      </w:r>
    </w:p>
    <w:p w:rsidR="00214256" w:rsidRDefault="00214256">
      <w:pPr>
        <w:pStyle w:val="ConsPlusNormal"/>
        <w:ind w:firstLine="540"/>
        <w:jc w:val="both"/>
      </w:pPr>
    </w:p>
    <w:p w:rsidR="00214256" w:rsidRDefault="00214256">
      <w:pPr>
        <w:pStyle w:val="ConsPlusNormal"/>
        <w:jc w:val="center"/>
      </w:pPr>
      <w:bookmarkStart w:id="3" w:name="P73"/>
      <w:bookmarkEnd w:id="3"/>
      <w:r>
        <w:t>Раздел 2. Общая заболеваемость населения</w:t>
      </w:r>
    </w:p>
    <w:p w:rsidR="00214256" w:rsidRDefault="00214256">
      <w:pPr>
        <w:pStyle w:val="ConsPlusNormal"/>
        <w:jc w:val="center"/>
      </w:pPr>
    </w:p>
    <w:p w:rsidR="00214256" w:rsidRDefault="00214256">
      <w:pPr>
        <w:pStyle w:val="ConsPlusNormal"/>
        <w:ind w:firstLine="540"/>
        <w:jc w:val="both"/>
      </w:pPr>
      <w:r>
        <w:t xml:space="preserve">При подготовке материалов данного раздела Доклада необходимо охарактеризовать ситуацию в субъекте Российской Федерации, указав, по каким нозологическим формам за отчетный период произошел рост, снижение и стабилизация заболеваемости, а также провести сравнительный анализ со средними показателями по Российской Федерации в целом и с показателями заболеваемости по соответствующему федеральному округу. Провести углубленный анализ динамики заболеваемости за последние 3 года, описать распространенность по территории, </w:t>
      </w:r>
      <w:r>
        <w:lastRenderedPageBreak/>
        <w:t>распределение по возрастам, с указанием причин роста и снижения, отдельно выделив социально значимые болезни (злокачественные новообразования, туберкулез, ВИЧ-инфекции, психические и наркологические расстройства).</w:t>
      </w:r>
    </w:p>
    <w:p w:rsidR="00214256" w:rsidRDefault="00214256">
      <w:pPr>
        <w:pStyle w:val="ConsPlusNormal"/>
        <w:ind w:firstLine="540"/>
        <w:jc w:val="both"/>
      </w:pPr>
      <w:r>
        <w:t>В конце раздела необходимо отразить проблемы и предложить пути решения с конкретными мероприятиями.</w:t>
      </w:r>
    </w:p>
    <w:p w:rsidR="00214256" w:rsidRDefault="00214256">
      <w:pPr>
        <w:pStyle w:val="ConsPlusNormal"/>
        <w:jc w:val="center"/>
      </w:pPr>
    </w:p>
    <w:p w:rsidR="00214256" w:rsidRDefault="00214256">
      <w:pPr>
        <w:pStyle w:val="ConsPlusNormal"/>
        <w:jc w:val="center"/>
      </w:pPr>
      <w:bookmarkStart w:id="4" w:name="P78"/>
      <w:bookmarkEnd w:id="4"/>
      <w:r>
        <w:t>Раздел 3. Охрана здоровья матери и ребенка</w:t>
      </w:r>
    </w:p>
    <w:p w:rsidR="00214256" w:rsidRDefault="00214256">
      <w:pPr>
        <w:pStyle w:val="ConsPlusNormal"/>
        <w:jc w:val="center"/>
      </w:pPr>
    </w:p>
    <w:p w:rsidR="00214256" w:rsidRDefault="00214256">
      <w:pPr>
        <w:pStyle w:val="ConsPlusNormal"/>
        <w:ind w:firstLine="540"/>
        <w:jc w:val="both"/>
      </w:pPr>
      <w:r>
        <w:t>Данный раздел Доклада должен содержать сведения о состоянии репродуктивного здоровья женщин, профилактике абортов, об организации и деятельности службы родовспоможения и медицинской помощи детям, причинах инвалидности детей первого года жизни, заболеваемости и смертности детей в домах ребенка.</w:t>
      </w:r>
    </w:p>
    <w:p w:rsidR="00214256" w:rsidRDefault="00214256">
      <w:pPr>
        <w:pStyle w:val="ConsPlusNormal"/>
        <w:ind w:firstLine="540"/>
        <w:jc w:val="both"/>
      </w:pPr>
      <w:r>
        <w:t xml:space="preserve">Рекомендуется отразить в данном разделе показатели обеспеченности койками (акушерскими (раздельно по группам учреждений), гинекологическими, педиатрическими, специализированными койками для детей), врачами (акушерами-гинекологами, педиатрами, неонатологами), сети учреждений родовспоможения, в том числе по группам, в перинатальных центрах, самостоятельных детских больницах, отделениях хирургии новорожденных, итоги проведения комплексной </w:t>
      </w: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ребенка, проведения неонатального скрининга, заболеваемости, госпитализации, выполнения схемы профилактических осмотров детей первого года жизни, </w:t>
      </w:r>
      <w:proofErr w:type="spellStart"/>
      <w:r>
        <w:t>досуточной</w:t>
      </w:r>
      <w:proofErr w:type="spellEnd"/>
      <w:r>
        <w:t xml:space="preserve"> летальности, смертности на дому, доле преждевременных родов, произошедших в учреждениях III группы, заболеваемости и смертности детей первого года жизни в домах ребенка.</w:t>
      </w:r>
    </w:p>
    <w:p w:rsidR="00214256" w:rsidRDefault="00214256">
      <w:pPr>
        <w:pStyle w:val="ConsPlusNormal"/>
        <w:jc w:val="center"/>
      </w:pPr>
    </w:p>
    <w:p w:rsidR="00214256" w:rsidRDefault="00214256">
      <w:pPr>
        <w:pStyle w:val="ConsPlusNormal"/>
        <w:jc w:val="center"/>
      </w:pPr>
      <w:bookmarkStart w:id="5" w:name="P83"/>
      <w:bookmarkEnd w:id="5"/>
      <w:r>
        <w:t>Раздел 4. Медицинская помощь населению</w:t>
      </w:r>
    </w:p>
    <w:p w:rsidR="00214256" w:rsidRDefault="00214256">
      <w:pPr>
        <w:pStyle w:val="ConsPlusNormal"/>
        <w:jc w:val="center"/>
      </w:pPr>
    </w:p>
    <w:p w:rsidR="00214256" w:rsidRDefault="00214256">
      <w:pPr>
        <w:pStyle w:val="ConsPlusNormal"/>
        <w:ind w:firstLine="540"/>
        <w:jc w:val="both"/>
      </w:pPr>
      <w:r>
        <w:t>В данном разделе должны быть отражены сведения о ходе реализации программ развития здравоохранения субъектов Российской Федерации и достижении предусмотренных ими целевых индикаторов:</w:t>
      </w:r>
    </w:p>
    <w:p w:rsidR="00214256" w:rsidRDefault="00214256">
      <w:pPr>
        <w:pStyle w:val="ConsPlusNormal"/>
        <w:ind w:firstLine="540"/>
        <w:jc w:val="both"/>
      </w:pPr>
      <w:r>
        <w:t>- об объемах оказания амбулаторной помощи населению;</w:t>
      </w:r>
    </w:p>
    <w:p w:rsidR="00214256" w:rsidRDefault="00214256">
      <w:pPr>
        <w:pStyle w:val="ConsPlusNormal"/>
        <w:ind w:firstLine="540"/>
        <w:jc w:val="both"/>
      </w:pPr>
      <w:r>
        <w:t>- о количестве посещений с профилактической целью;</w:t>
      </w:r>
    </w:p>
    <w:p w:rsidR="00214256" w:rsidRDefault="00214256">
      <w:pPr>
        <w:pStyle w:val="ConsPlusNormal"/>
        <w:ind w:firstLine="540"/>
        <w:jc w:val="both"/>
      </w:pPr>
      <w:r>
        <w:t>- об объемах неотложной медицинской помощи (число посещений на 1 жителя);</w:t>
      </w:r>
    </w:p>
    <w:p w:rsidR="00214256" w:rsidRDefault="00214256">
      <w:pPr>
        <w:pStyle w:val="ConsPlusNormal"/>
        <w:ind w:firstLine="540"/>
        <w:jc w:val="both"/>
      </w:pPr>
      <w:r>
        <w:t xml:space="preserve">- об объемах медицинской помощи, оказываемой в условиях дневных стационаров (число </w:t>
      </w:r>
      <w:proofErr w:type="spellStart"/>
      <w:r>
        <w:t>пациенто</w:t>
      </w:r>
      <w:proofErr w:type="spellEnd"/>
      <w:r>
        <w:t>-дней на 1 жителя, на 1 застрахованное лицо);</w:t>
      </w:r>
    </w:p>
    <w:p w:rsidR="00214256" w:rsidRDefault="00214256">
      <w:pPr>
        <w:pStyle w:val="ConsPlusNormal"/>
        <w:ind w:firstLine="540"/>
        <w:jc w:val="both"/>
      </w:pPr>
      <w:r>
        <w:t>- о профилактических осмотрах взрослого населения;</w:t>
      </w:r>
    </w:p>
    <w:p w:rsidR="00214256" w:rsidRDefault="00214256">
      <w:pPr>
        <w:pStyle w:val="ConsPlusNormal"/>
        <w:ind w:firstLine="540"/>
        <w:jc w:val="both"/>
      </w:pPr>
      <w:r>
        <w:t>- о проценте выполнения плановых показателей по диспансеризации определенных групп взрослого населения;</w:t>
      </w:r>
    </w:p>
    <w:p w:rsidR="00214256" w:rsidRDefault="00214256">
      <w:pPr>
        <w:pStyle w:val="ConsPlusNormal"/>
        <w:ind w:firstLine="540"/>
        <w:jc w:val="both"/>
      </w:pPr>
      <w:r>
        <w:t>- о смертности на дому;</w:t>
      </w:r>
    </w:p>
    <w:p w:rsidR="00214256" w:rsidRDefault="00214256">
      <w:pPr>
        <w:pStyle w:val="ConsPlusNormal"/>
        <w:ind w:firstLine="540"/>
        <w:jc w:val="both"/>
      </w:pPr>
      <w:r>
        <w:t>- о количестве вызовов скорой медицинской помощи в расчете на 1 жителя;</w:t>
      </w:r>
    </w:p>
    <w:p w:rsidR="00214256" w:rsidRDefault="00214256">
      <w:pPr>
        <w:pStyle w:val="ConsPlusNormal"/>
        <w:ind w:firstLine="540"/>
        <w:jc w:val="both"/>
      </w:pPr>
      <w:r>
        <w:t>- о среднем времени прибытия бригады скорой медицинской помощи (от момента поступления вызова) (минуты);</w:t>
      </w:r>
    </w:p>
    <w:p w:rsidR="00214256" w:rsidRDefault="00214256">
      <w:pPr>
        <w:pStyle w:val="ConsPlusNormal"/>
        <w:ind w:firstLine="540"/>
        <w:jc w:val="both"/>
      </w:pPr>
      <w:r>
        <w:t>- об обеспеченности населения медицинскими работниками, оказывающими первичную медико-санитарную помощь, в том числе специализированную первичную медико-санитарную помощь, в амбулаторных условиях и в условиях дневного стационара (на 10 тыс. населения);</w:t>
      </w:r>
    </w:p>
    <w:p w:rsidR="00214256" w:rsidRDefault="00214256">
      <w:pPr>
        <w:pStyle w:val="ConsPlusNormal"/>
        <w:ind w:firstLine="540"/>
        <w:jc w:val="both"/>
      </w:pPr>
      <w:r>
        <w:t>- об оказании специализированной, включая высокотехнологичную медицинскую помощь;</w:t>
      </w:r>
    </w:p>
    <w:p w:rsidR="00214256" w:rsidRDefault="00214256">
      <w:pPr>
        <w:pStyle w:val="ConsPlusNormal"/>
        <w:ind w:firstLine="540"/>
        <w:jc w:val="both"/>
      </w:pPr>
      <w:r>
        <w:t>- о медицинской эвакуации;</w:t>
      </w:r>
    </w:p>
    <w:p w:rsidR="00214256" w:rsidRDefault="00214256">
      <w:pPr>
        <w:pStyle w:val="ConsPlusNormal"/>
        <w:ind w:firstLine="540"/>
        <w:jc w:val="both"/>
      </w:pPr>
      <w:r>
        <w:t>- о медицинской реабилитации и санаторно-курортном лечении, в том числе для детей, включая сведения об охвате санаторно-курортным лечением, реабилитационной медицинской помощью, в том числе детей-инвалидов, от числа нуждающихся;</w:t>
      </w:r>
    </w:p>
    <w:p w:rsidR="00214256" w:rsidRDefault="00214256">
      <w:pPr>
        <w:pStyle w:val="ConsPlusNormal"/>
        <w:ind w:firstLine="540"/>
        <w:jc w:val="both"/>
      </w:pPr>
      <w:r>
        <w:t>- об оказании паллиативной помощи, в том числе детям, отразив сведения об обеспеченности койками для оказания паллиативной помощи взрослым и детям.</w:t>
      </w:r>
    </w:p>
    <w:p w:rsidR="00214256" w:rsidRDefault="00214256">
      <w:pPr>
        <w:pStyle w:val="ConsPlusNormal"/>
        <w:jc w:val="center"/>
      </w:pPr>
    </w:p>
    <w:p w:rsidR="00214256" w:rsidRDefault="00214256">
      <w:pPr>
        <w:pStyle w:val="ConsPlusNormal"/>
        <w:jc w:val="center"/>
      </w:pPr>
      <w:bookmarkStart w:id="6" w:name="P101"/>
      <w:bookmarkEnd w:id="6"/>
      <w:r>
        <w:t>Раздел 5. Обеспеченность лекарственными средствами</w:t>
      </w:r>
    </w:p>
    <w:p w:rsidR="00214256" w:rsidRDefault="00214256">
      <w:pPr>
        <w:pStyle w:val="ConsPlusNormal"/>
        <w:jc w:val="center"/>
      </w:pPr>
    </w:p>
    <w:p w:rsidR="00214256" w:rsidRDefault="00214256">
      <w:pPr>
        <w:pStyle w:val="ConsPlusNormal"/>
        <w:ind w:firstLine="540"/>
        <w:jc w:val="both"/>
      </w:pPr>
      <w:r>
        <w:t xml:space="preserve">В данном разделе должны быть отражены сведения о лекарственном обеспечении </w:t>
      </w:r>
      <w:r>
        <w:lastRenderedPageBreak/>
        <w:t xml:space="preserve">отдельных категорий граждан, включающих женщин (в том числе беременных) и детей до 3-х лет, медицинскими изделиями, специализированными продуктами лечебного питания для детей-инвалидов, а также об удовлетворение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рассеянным склерозом, а также трансплантации органов и (или) тканей (от числа лиц, включенных в федеральный регистр больных злокачественными новообразованиями лимфоидной, кроветворной и родственных им тканей,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рассеянным склерозом, а также трансплантации органов и (или) тканей).</w:t>
      </w:r>
    </w:p>
    <w:p w:rsidR="00214256" w:rsidRDefault="00214256">
      <w:pPr>
        <w:pStyle w:val="ConsPlusNormal"/>
        <w:jc w:val="center"/>
      </w:pPr>
    </w:p>
    <w:p w:rsidR="00214256" w:rsidRDefault="00214256">
      <w:pPr>
        <w:pStyle w:val="ConsPlusNormal"/>
        <w:jc w:val="center"/>
      </w:pPr>
      <w:bookmarkStart w:id="7" w:name="P105"/>
      <w:bookmarkEnd w:id="7"/>
      <w:r>
        <w:t>Раздел 6. Профилактика заболеваний</w:t>
      </w:r>
    </w:p>
    <w:p w:rsidR="00214256" w:rsidRDefault="00214256">
      <w:pPr>
        <w:pStyle w:val="ConsPlusNormal"/>
        <w:jc w:val="center"/>
      </w:pPr>
      <w:r>
        <w:t>и формирование здорового образа жизни</w:t>
      </w:r>
    </w:p>
    <w:p w:rsidR="00214256" w:rsidRDefault="00214256">
      <w:pPr>
        <w:pStyle w:val="ConsPlusNormal"/>
        <w:ind w:firstLine="540"/>
        <w:jc w:val="both"/>
      </w:pPr>
    </w:p>
    <w:p w:rsidR="00214256" w:rsidRPr="004F7D3E" w:rsidRDefault="00214256">
      <w:pPr>
        <w:pStyle w:val="ConsPlusNormal"/>
        <w:ind w:firstLine="540"/>
        <w:jc w:val="both"/>
      </w:pPr>
      <w:r>
        <w:t>Данный раздел должен включать сведения об итогах реализации проведенных в отчетном году профилактических мероприятий, а также мероприятий, направленных на формирование и пропаганду здорового образа жизни:</w:t>
      </w:r>
    </w:p>
    <w:p w:rsidR="00214256" w:rsidRPr="004F7D3E" w:rsidRDefault="00214256">
      <w:pPr>
        <w:pStyle w:val="ConsPlusNormal"/>
        <w:ind w:firstLine="540"/>
        <w:jc w:val="both"/>
      </w:pPr>
      <w:r w:rsidRPr="004F7D3E">
        <w:t xml:space="preserve">охват населения профилактическими прививками в рамках Национального </w:t>
      </w:r>
      <w:hyperlink r:id="rId6" w:history="1">
        <w:r w:rsidRPr="004F7D3E">
          <w:t>календаря</w:t>
        </w:r>
      </w:hyperlink>
      <w:r w:rsidRPr="004F7D3E">
        <w:t xml:space="preserve"> профилактических прививок;</w:t>
      </w:r>
    </w:p>
    <w:p w:rsidR="00214256" w:rsidRPr="004F7D3E" w:rsidRDefault="00214256">
      <w:pPr>
        <w:pStyle w:val="ConsPlusNormal"/>
        <w:ind w:firstLine="540"/>
        <w:jc w:val="both"/>
      </w:pPr>
      <w:r w:rsidRPr="004F7D3E">
        <w:t>- инфекционной (паразитарной) заболеваемости за отчетный период в сравнении с предыдущим периодом;</w:t>
      </w:r>
    </w:p>
    <w:p w:rsidR="00214256" w:rsidRPr="004F7D3E" w:rsidRDefault="00214256">
      <w:pPr>
        <w:pStyle w:val="ConsPlusNormal"/>
        <w:ind w:firstLine="540"/>
        <w:jc w:val="both"/>
      </w:pPr>
      <w:r w:rsidRPr="004F7D3E">
        <w:t>- проведение мероприятий по профилактике, диагностике, лечению ВИЧ-инфекции, вирусных гепатитов В и С;</w:t>
      </w:r>
    </w:p>
    <w:p w:rsidR="00214256" w:rsidRPr="004F7D3E" w:rsidRDefault="00214256">
      <w:pPr>
        <w:pStyle w:val="ConsPlusNormal"/>
        <w:ind w:firstLine="540"/>
        <w:jc w:val="both"/>
      </w:pPr>
      <w:r w:rsidRPr="004F7D3E">
        <w:t>- противодействие потреблению табака;</w:t>
      </w:r>
    </w:p>
    <w:p w:rsidR="00214256" w:rsidRPr="004F7D3E" w:rsidRDefault="00214256">
      <w:pPr>
        <w:pStyle w:val="ConsPlusNormal"/>
        <w:ind w:firstLine="540"/>
        <w:jc w:val="both"/>
      </w:pPr>
      <w:r w:rsidRPr="004F7D3E">
        <w:t>- сокращение потребления алкоголя;</w:t>
      </w:r>
    </w:p>
    <w:p w:rsidR="00214256" w:rsidRPr="004F7D3E" w:rsidRDefault="00214256">
      <w:pPr>
        <w:pStyle w:val="ConsPlusNormal"/>
        <w:ind w:firstLine="540"/>
        <w:jc w:val="both"/>
      </w:pPr>
      <w:r w:rsidRPr="004F7D3E">
        <w:t>- формирование культуры здорового питания;</w:t>
      </w:r>
    </w:p>
    <w:p w:rsidR="00214256" w:rsidRPr="004F7D3E" w:rsidRDefault="00214256">
      <w:pPr>
        <w:pStyle w:val="ConsPlusNormal"/>
        <w:ind w:firstLine="540"/>
        <w:jc w:val="both"/>
      </w:pPr>
      <w:r w:rsidRPr="004F7D3E">
        <w:t>- повышение физической активности населения и мотивирования граждан к ведению ЗОЖ.</w:t>
      </w:r>
    </w:p>
    <w:p w:rsidR="00214256" w:rsidRPr="004F7D3E" w:rsidRDefault="00214256">
      <w:pPr>
        <w:pStyle w:val="ConsPlusNormal"/>
        <w:ind w:firstLine="540"/>
        <w:jc w:val="both"/>
      </w:pPr>
      <w:r w:rsidRPr="004F7D3E">
        <w:t>При подготовке раздела рекомендуем учитывать положения следующих нормативных правовых актов:</w:t>
      </w:r>
    </w:p>
    <w:p w:rsidR="00214256" w:rsidRPr="004F7D3E" w:rsidRDefault="00214256">
      <w:pPr>
        <w:pStyle w:val="ConsPlusNormal"/>
        <w:ind w:firstLine="540"/>
        <w:jc w:val="both"/>
      </w:pPr>
      <w:r w:rsidRPr="004F7D3E">
        <w:t xml:space="preserve">- </w:t>
      </w:r>
      <w:hyperlink r:id="rId7" w:history="1">
        <w:r w:rsidRPr="004F7D3E">
          <w:t>Концепции</w:t>
        </w:r>
      </w:hyperlink>
      <w:r w:rsidRPr="004F7D3E">
        <w:t xml:space="preserve"> осуществления государственной политики противодействия потреблению табака на 2010-2015 годы и </w:t>
      </w:r>
      <w:hyperlink r:id="rId8" w:history="1">
        <w:r w:rsidRPr="004F7D3E">
          <w:t>плана</w:t>
        </w:r>
      </w:hyperlink>
      <w:r w:rsidRPr="004F7D3E">
        <w:t xml:space="preserve"> по ее реализации, утвержденных распоряжением Правительства Российской Федерации от 23.09.2010 N 1563-р;</w:t>
      </w:r>
    </w:p>
    <w:p w:rsidR="00214256" w:rsidRPr="004F7D3E" w:rsidRDefault="00214256">
      <w:pPr>
        <w:pStyle w:val="ConsPlusNormal"/>
        <w:ind w:firstLine="540"/>
        <w:jc w:val="both"/>
      </w:pPr>
      <w:r w:rsidRPr="004F7D3E">
        <w:t xml:space="preserve">- </w:t>
      </w:r>
      <w:hyperlink r:id="rId9" w:history="1">
        <w:r w:rsidRPr="004F7D3E">
          <w:t>Концепции</w:t>
        </w:r>
      </w:hyperlink>
      <w:r w:rsidRPr="004F7D3E"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одобренной распоряжением Правительства Российской Федерации от 30.12.2009 N 2128-р;</w:t>
      </w:r>
    </w:p>
    <w:p w:rsidR="00214256" w:rsidRPr="004F7D3E" w:rsidRDefault="00214256">
      <w:pPr>
        <w:pStyle w:val="ConsPlusNormal"/>
        <w:ind w:firstLine="540"/>
        <w:jc w:val="both"/>
      </w:pPr>
      <w:r w:rsidRPr="004F7D3E">
        <w:t xml:space="preserve">- </w:t>
      </w:r>
      <w:hyperlink r:id="rId10" w:history="1">
        <w:r w:rsidRPr="004F7D3E">
          <w:t>Плана</w:t>
        </w:r>
      </w:hyperlink>
      <w:r w:rsidRPr="004F7D3E">
        <w:t xml:space="preserve"> мероприятий по реализации Основ государственной политики в области здорового питания населения Российской Федерации на период до 2020 года, утвержденного распоряжением Правительства Российской Федерации от 30.06.2012 N 1134-р;</w:t>
      </w:r>
    </w:p>
    <w:p w:rsidR="00214256" w:rsidRPr="004F7D3E" w:rsidRDefault="00214256">
      <w:pPr>
        <w:pStyle w:val="ConsPlusNormal"/>
        <w:ind w:firstLine="540"/>
        <w:jc w:val="both"/>
      </w:pPr>
      <w:r w:rsidRPr="004F7D3E">
        <w:t xml:space="preserve">- </w:t>
      </w:r>
      <w:hyperlink r:id="rId11" w:history="1">
        <w:r w:rsidRPr="004F7D3E">
          <w:t>Подпрограммы 1</w:t>
        </w:r>
      </w:hyperlink>
      <w:r w:rsidRPr="004F7D3E">
        <w:t xml:space="preserve"> "Профилактика заболеваний и формирование здорового образа жизни. Развитие первичной медико-санитарной помощи" Государственной программы Российской Федерации "Развитие здравоохранения" на 2013-2020 годы, утвержденной распоряжением Правительства Российской Федерации от 24.12.2012 N 2511-р;</w:t>
      </w:r>
    </w:p>
    <w:p w:rsidR="00214256" w:rsidRPr="004F7D3E" w:rsidRDefault="00214256">
      <w:pPr>
        <w:pStyle w:val="ConsPlusNormal"/>
        <w:ind w:firstLine="540"/>
        <w:jc w:val="both"/>
      </w:pPr>
      <w:r w:rsidRPr="004F7D3E">
        <w:t xml:space="preserve">- Федерального </w:t>
      </w:r>
      <w:hyperlink r:id="rId12" w:history="1">
        <w:r w:rsidRPr="004F7D3E">
          <w:t>закона</w:t>
        </w:r>
      </w:hyperlink>
      <w:r w:rsidRPr="004F7D3E">
        <w:t xml:space="preserve"> от 23.02.2013 N 15-ФЗ "Об охране здоровья граждан от воздействия окружающего табачного дыма и последствий потребления табака", которым установлен комплекс мер по снижению потребления табака, в том числе среди несовершеннолетних.</w:t>
      </w:r>
    </w:p>
    <w:p w:rsidR="00214256" w:rsidRPr="004F7D3E" w:rsidRDefault="00214256">
      <w:pPr>
        <w:pStyle w:val="ConsPlusNormal"/>
        <w:ind w:firstLine="540"/>
        <w:jc w:val="both"/>
      </w:pPr>
    </w:p>
    <w:p w:rsidR="00214256" w:rsidRPr="004F7D3E" w:rsidRDefault="00214256">
      <w:pPr>
        <w:pStyle w:val="ConsPlusNormal"/>
        <w:jc w:val="center"/>
      </w:pPr>
      <w:bookmarkStart w:id="8" w:name="P123"/>
      <w:bookmarkEnd w:id="8"/>
      <w:r w:rsidRPr="004F7D3E">
        <w:t>Раздел 7. Развитие и внедрение инновационных методов</w:t>
      </w:r>
    </w:p>
    <w:p w:rsidR="00214256" w:rsidRPr="004F7D3E" w:rsidRDefault="00214256">
      <w:pPr>
        <w:pStyle w:val="ConsPlusNormal"/>
        <w:jc w:val="center"/>
      </w:pPr>
      <w:r w:rsidRPr="004F7D3E">
        <w:t>диагностики и лечения</w:t>
      </w:r>
    </w:p>
    <w:p w:rsidR="00214256" w:rsidRPr="004F7D3E" w:rsidRDefault="00214256">
      <w:pPr>
        <w:pStyle w:val="ConsPlusNormal"/>
        <w:ind w:firstLine="540"/>
        <w:jc w:val="both"/>
      </w:pPr>
    </w:p>
    <w:p w:rsidR="00214256" w:rsidRPr="004F7D3E" w:rsidRDefault="00214256">
      <w:pPr>
        <w:pStyle w:val="ConsPlusNormal"/>
        <w:ind w:firstLine="540"/>
        <w:jc w:val="both"/>
      </w:pPr>
      <w:r w:rsidRPr="004F7D3E">
        <w:t xml:space="preserve">В разделе должны быть представлены сведения о реализации мероприятий </w:t>
      </w:r>
      <w:hyperlink r:id="rId13" w:history="1">
        <w:r w:rsidRPr="004F7D3E">
          <w:t>подпрограммы 3</w:t>
        </w:r>
      </w:hyperlink>
      <w:r w:rsidRPr="004F7D3E">
        <w:t xml:space="preserve"> Государственной программы "Развитие здравоохранения", включающие число исследований, проведенных с использованием технологий ядерной медицины, число больных, пролеченных с использованием технологий ядерной медицины, количество новых разработанных диагностических тест-систем, количество новых лекарственных средств, доведенных до стадии </w:t>
      </w:r>
      <w:r w:rsidRPr="004F7D3E">
        <w:lastRenderedPageBreak/>
        <w:t>клинических исследований, количество новых клеточных продуктов.</w:t>
      </w:r>
    </w:p>
    <w:p w:rsidR="00214256" w:rsidRPr="004F7D3E" w:rsidRDefault="00214256">
      <w:pPr>
        <w:pStyle w:val="ConsPlusNormal"/>
        <w:ind w:firstLine="540"/>
        <w:jc w:val="both"/>
      </w:pPr>
    </w:p>
    <w:p w:rsidR="00214256" w:rsidRPr="004F7D3E" w:rsidRDefault="00214256">
      <w:pPr>
        <w:pStyle w:val="ConsPlusNormal"/>
        <w:jc w:val="center"/>
      </w:pPr>
      <w:bookmarkStart w:id="9" w:name="P128"/>
      <w:bookmarkEnd w:id="9"/>
      <w:r w:rsidRPr="004F7D3E">
        <w:t>Раздел 8. Кадровое обеспечение системы здравоохранения</w:t>
      </w:r>
    </w:p>
    <w:p w:rsidR="00214256" w:rsidRPr="004F7D3E" w:rsidRDefault="00214256">
      <w:pPr>
        <w:pStyle w:val="ConsPlusNormal"/>
        <w:ind w:firstLine="540"/>
        <w:jc w:val="both"/>
      </w:pPr>
    </w:p>
    <w:p w:rsidR="00214256" w:rsidRPr="004F7D3E" w:rsidRDefault="00214256">
      <w:pPr>
        <w:pStyle w:val="ConsPlusNormal"/>
        <w:ind w:firstLine="540"/>
        <w:jc w:val="both"/>
      </w:pPr>
      <w:r w:rsidRPr="004F7D3E">
        <w:t>В данном разделе должны быть отражены сведения о численности врачей и среднего медицинского персонала, обеспеченности на 10 тыс. населения, наличии квалификационной категории и сертификата специалиста, а также о количестве подготовленных специалистов по программам дополнительного медицинского и фармацевтического образования в образовательных учреждениях дополнительного профессионального образования, образовательных учреждениях высшего профессионального образования, доле медицинских и фармацевтических специалистов, обучавшихся в рамках целевой подготовки для нужд соответствующего субъекта Российской Федерации, трудоустроившихся после завершения обучения в медицинские или фармацевтические организации системы здравоохранения соответствующего субъекта Российской Федерации.</w:t>
      </w:r>
    </w:p>
    <w:p w:rsidR="00214256" w:rsidRPr="004F7D3E" w:rsidRDefault="00214256">
      <w:pPr>
        <w:pStyle w:val="ConsPlusNormal"/>
        <w:ind w:firstLine="540"/>
        <w:jc w:val="both"/>
      </w:pPr>
    </w:p>
    <w:p w:rsidR="00214256" w:rsidRPr="004F7D3E" w:rsidRDefault="00214256">
      <w:pPr>
        <w:pStyle w:val="ConsPlusNormal"/>
        <w:jc w:val="center"/>
      </w:pPr>
      <w:bookmarkStart w:id="10" w:name="P132"/>
      <w:bookmarkEnd w:id="10"/>
      <w:r w:rsidRPr="004F7D3E">
        <w:t>Раздел 9. Финансовое обеспечение оказания медицинской помощи</w:t>
      </w:r>
    </w:p>
    <w:p w:rsidR="00214256" w:rsidRPr="004F7D3E" w:rsidRDefault="00214256">
      <w:pPr>
        <w:pStyle w:val="ConsPlusNormal"/>
        <w:ind w:firstLine="540"/>
        <w:jc w:val="both"/>
      </w:pPr>
    </w:p>
    <w:p w:rsidR="00214256" w:rsidRPr="004F7D3E" w:rsidRDefault="00214256">
      <w:pPr>
        <w:pStyle w:val="ConsPlusNormal"/>
        <w:ind w:firstLine="540"/>
        <w:jc w:val="both"/>
      </w:pPr>
      <w:r w:rsidRPr="004F7D3E">
        <w:t>В данном разделе должны быть представлены сведения о расходах консолидированного бюджета субъекта Российской Федерации на здравоохранение, в том числе на здравоохранение в части увеличения стоимости основных средств, на здравоохранение в части текущих расходов, на здравоохранение в части текущих расходов на оплату труда и начислений на оплату труда, а также территориальных государственных внебю</w:t>
      </w:r>
      <w:bookmarkStart w:id="11" w:name="_GoBack"/>
      <w:bookmarkEnd w:id="11"/>
      <w:r w:rsidRPr="004F7D3E">
        <w:t>джетных фондов.</w:t>
      </w:r>
    </w:p>
    <w:p w:rsidR="00214256" w:rsidRPr="004F7D3E" w:rsidRDefault="00214256">
      <w:pPr>
        <w:sectPr w:rsidR="00214256" w:rsidRPr="004F7D3E" w:rsidSect="008C23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4256" w:rsidRDefault="00214256">
      <w:pPr>
        <w:pStyle w:val="ConsPlusNormal"/>
        <w:jc w:val="right"/>
      </w:pPr>
      <w:r>
        <w:lastRenderedPageBreak/>
        <w:t>Приложение 2</w:t>
      </w:r>
    </w:p>
    <w:p w:rsidR="00214256" w:rsidRDefault="00214256">
      <w:pPr>
        <w:pStyle w:val="ConsPlusNormal"/>
        <w:jc w:val="right"/>
      </w:pPr>
      <w:r>
        <w:t>к методическим рекомендациям</w:t>
      </w:r>
    </w:p>
    <w:p w:rsidR="00214256" w:rsidRDefault="00214256">
      <w:pPr>
        <w:pStyle w:val="ConsPlusNormal"/>
        <w:jc w:val="right"/>
      </w:pPr>
      <w:r>
        <w:t>по подготовке доклада органов</w:t>
      </w:r>
    </w:p>
    <w:p w:rsidR="00214256" w:rsidRDefault="00214256">
      <w:pPr>
        <w:pStyle w:val="ConsPlusNormal"/>
        <w:jc w:val="right"/>
      </w:pPr>
      <w:r>
        <w:t>исполнительной власти субъектов</w:t>
      </w:r>
    </w:p>
    <w:p w:rsidR="00214256" w:rsidRDefault="00214256">
      <w:pPr>
        <w:pStyle w:val="ConsPlusNormal"/>
        <w:jc w:val="right"/>
      </w:pPr>
      <w:r>
        <w:t>Российской Федерации о состоянии</w:t>
      </w:r>
    </w:p>
    <w:p w:rsidR="00214256" w:rsidRDefault="00214256">
      <w:pPr>
        <w:pStyle w:val="ConsPlusNormal"/>
        <w:jc w:val="right"/>
      </w:pPr>
      <w:r>
        <w:t>здоровья населения и организации</w:t>
      </w:r>
    </w:p>
    <w:p w:rsidR="00214256" w:rsidRDefault="00214256">
      <w:pPr>
        <w:pStyle w:val="ConsPlusNormal"/>
        <w:jc w:val="right"/>
      </w:pPr>
      <w:r>
        <w:t>здравоохранения по итогам</w:t>
      </w:r>
    </w:p>
    <w:p w:rsidR="00214256" w:rsidRDefault="00214256">
      <w:pPr>
        <w:pStyle w:val="ConsPlusNormal"/>
        <w:jc w:val="right"/>
      </w:pPr>
      <w:r>
        <w:t>деятельности за отчетный год</w:t>
      </w:r>
    </w:p>
    <w:p w:rsidR="00214256" w:rsidRDefault="00214256">
      <w:pPr>
        <w:pStyle w:val="ConsPlusNormal"/>
        <w:ind w:firstLine="540"/>
        <w:jc w:val="both"/>
      </w:pPr>
    </w:p>
    <w:p w:rsidR="00214256" w:rsidRDefault="00214256">
      <w:pPr>
        <w:pStyle w:val="ConsPlusNormal"/>
        <w:jc w:val="center"/>
      </w:pPr>
      <w:bookmarkStart w:id="12" w:name="P149"/>
      <w:bookmarkEnd w:id="12"/>
      <w:r>
        <w:t>ПЕРЕЧЕНЬ</w:t>
      </w:r>
    </w:p>
    <w:p w:rsidR="00214256" w:rsidRDefault="00214256">
      <w:pPr>
        <w:pStyle w:val="ConsPlusNormal"/>
        <w:jc w:val="center"/>
      </w:pPr>
      <w:r>
        <w:t>ПОКАЗАТЕЛЕЙ ФЕДЕРАЛЬНОЙ И ОТРАСЛЕВОЙ СТАТИСТИЧЕСКОЙ</w:t>
      </w:r>
    </w:p>
    <w:p w:rsidR="00214256" w:rsidRDefault="00214256">
      <w:pPr>
        <w:pStyle w:val="ConsPlusNormal"/>
        <w:jc w:val="center"/>
      </w:pPr>
      <w:r>
        <w:t>ОТЧЕТНОСТИ, ИСПОЛЬЗУЕМЫХ ДЛЯ АНАЛИЗА</w:t>
      </w:r>
    </w:p>
    <w:p w:rsidR="00214256" w:rsidRDefault="00214256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6"/>
        <w:gridCol w:w="9423"/>
        <w:gridCol w:w="4051"/>
      </w:tblGrid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3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1.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Смертность от всех причин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на 1000 населения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2.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случаев на 100 тыс. родившихся живыми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3.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случаев на 1000 родившихся живыми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4.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Смертность от болезней системы кровообращения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на 100 тыс. населения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5.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Смертность от дорожно-транспортных происшествий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на 100 тыс. населения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6.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Смертность от новообразований (в том числе от злокачественных)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на 100 тыс. населения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7.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Смертность от туберкулеза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на 100 тыс. населения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8.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Потребление алкогольной продукции (в перерасчете на абсолютный алкоголь)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литров на душу населения в год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9.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Распространенность потребления табака среди взрослого населения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10.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Распространенность потребления табака среди детей и подростков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Заболеваемость психическими расстройствами и расстройствами поведения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на 100 тыс. населения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12.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Заболеваемость туберкулезом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на 100 тыс. населения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13.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Обеспеченность врачами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на 10 тыс. населения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14.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Обеспеченность средним медицинским персоналом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на 10 тыс. населения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15.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Соотношение врачей и среднего медицинского персонала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</w:pP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16.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Соотношение з/п врачей и работников медицинских организаций, имеющих высшее медицинское (фармацевтическое) или иное высшее образование, к средней заработной плате по экономике соответствующего субъекта Российской Федерации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17.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Соотношение з/п среднего медицинского (фармацевтического) персонала медицинских организаций к средней заработной плате по экономике соответствующего субъекта Российской Федерации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18.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Соотношение з/п младшего медицинского персонала (персонала, обеспечивающего условия для предоставления медицинских услуг) медицинских организаций к средней заработной плате по экономике соответствующего субъекта Российской Федерации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19.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лет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20.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Охват профилактическими медицинскими осмотрами детей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21.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Число детей-сирот и детей, находящихся в трудной жизненной ситуации, прошедших диспансеризацию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тыс. чел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22.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Доля подростков, прошедших диспансеризацию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23.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Доля взрослого населения, прошедшего диспансеризацию и профилактические осмотры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24.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Доля больных с выявленными злокачественными новообразованиями на I-II ст.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25.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Охват населения профилактическими осмотрами на туберкулез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 xml:space="preserve">Доля обследованных </w:t>
            </w:r>
            <w:proofErr w:type="spellStart"/>
            <w:r>
              <w:t>флюорографически</w:t>
            </w:r>
            <w:proofErr w:type="spellEnd"/>
            <w:r>
              <w:t xml:space="preserve"> среди лиц, прошедших профилактические осмотры на туберкулез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27.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Заболеваемость дифтерией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на 100 тыс. населения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28.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Заболеваемость корью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на 1 млн. населения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29.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Заболеваемость краснухой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на 100 тыс. населения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30.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Заболеваемость эпидемическим паротитом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на 100 тыс. населения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31.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Заболеваемость острым вирусным гепатитом В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на 100 тыс. населения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32.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 xml:space="preserve">Охват иммунизации населения против вирусного гепатита </w:t>
            </w:r>
            <w:proofErr w:type="gramStart"/>
            <w:r>
              <w:t xml:space="preserve">В </w:t>
            </w:r>
            <w:proofErr w:type="spellStart"/>
            <w:r>
              <w:t>в</w:t>
            </w:r>
            <w:proofErr w:type="spellEnd"/>
            <w:proofErr w:type="gramEnd"/>
            <w:r>
              <w:t xml:space="preserve"> декретированные сроки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33.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Охват иммунизации населения против дифтерии, коклюша и столбняка в декретированные сроки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34.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Охват иммунизации населения против кори в декретированные сроки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35.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Охват иммунизации населения против краснухи в декретированные сроки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36.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Охват иммунизации населения против эпидемического паротита в декретированные сроки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37.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Доля ВИЧ-инфицированных лиц, состоящих на диспансерном учете, от числа выявленных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38.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Синдром зависимости от алкоголя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на 100 тыс. населения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39.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Синдром зависимости от наркотиков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на 100 тыс. населения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40.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Доля больных алкоголизмом, повторно госпитализированных в течение года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41.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Доля больных наркоманиями, повторно госпитализированных в течение года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42.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 xml:space="preserve"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продуктов лечебного питания для детей-инвалидов (от числа лиц, имеющих право на государственную социальную помощь и не отказавшихся от получения социальной услуги, лекарственными препаратами, изделиями </w:t>
            </w:r>
            <w:r>
              <w:lastRenderedPageBreak/>
              <w:t>медицинского назначения, а также специализированными продуктами лечебного питания для детей-инвалидов)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 xml:space="preserve">Удовлетворение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>
              <w:t>муковисцидозом</w:t>
            </w:r>
            <w:proofErr w:type="spellEnd"/>
            <w:r>
              <w:t xml:space="preserve">, гипофизарным нанизмом, болезнью Гоше, рассеянным склерозом, а также трансплантации органов и (или) тканей (от числа лиц, включенных в федеральный регистр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>
              <w:t>муковисцидозом</w:t>
            </w:r>
            <w:proofErr w:type="spellEnd"/>
            <w:r>
              <w:t>, гипофизарным нанизмом, болезнью Гоше, рассеянным склерозом, а также трансплантации органов и (или) тканей)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44.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 xml:space="preserve">Доля </w:t>
            </w:r>
            <w:proofErr w:type="spellStart"/>
            <w:r>
              <w:t>абацилированных</w:t>
            </w:r>
            <w:proofErr w:type="spellEnd"/>
            <w:r>
              <w:t xml:space="preserve"> больных туберкулезом от числа больных туберкулезом с </w:t>
            </w:r>
            <w:proofErr w:type="spellStart"/>
            <w:r>
              <w:t>бактериовыделением</w:t>
            </w:r>
            <w:proofErr w:type="spellEnd"/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45.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Доля ВИЧ-инфицированных лиц, получающих антиретровирусную терапию, от числа состоящих на диспансерном учете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46.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Число наркологических больных, находящихся в ремиссии от 1 года до 2 лет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число наркологических больных, находящихся в ремиссии на 100 наркологических больных среднегодового контингента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47.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Число наркологических больных, находящихся в ремиссии более 2 лет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число наркологических больных, находящихся в ремиссии на 100 наркологических больных среднегодового контингента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48.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Число больных алкоголизмом, находящихся в ремиссии от 1 года до 2 лет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число больных алкоголизмом, находящихся в ремиссии на 100 больных алкоголизмом среднегодового контингента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49.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Число больных алкоголизмом, находящихся в ремиссии более 2 лет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 xml:space="preserve">число больных алкоголизмом, находящихся в ремиссии на 100 больных </w:t>
            </w:r>
            <w:r>
              <w:lastRenderedPageBreak/>
              <w:t>алкоголизмом среднегодового контингента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Доля больных психическими расстройствами, охваченных бригадными формами оказания психиатрической помощи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51.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Доля больных психическими расстройствами, повторно госпитализированных в течение года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52.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Больничная летальность больных с острыми и повторными инфарктами миокарда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53.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Смертность от ишемической болезни сердца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на 100 тыс. населения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54.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Больничная летальность больных с острыми нарушениями мозгового кровообращения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55.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Смертность от цереброваскулярных заболеваний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на 100 тыс. населения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56.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Удельный вес больных злокачественными новообразованиями, состоящих на учете с момента установления диагноза 5 лет и более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57.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Одногодичная летальность больных со злокачественными новообразованиями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58.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 xml:space="preserve">Доля выездов бригад скорой медицинской помощи со временем </w:t>
            </w:r>
            <w:proofErr w:type="spellStart"/>
            <w:r>
              <w:t>доезда</w:t>
            </w:r>
            <w:proofErr w:type="spellEnd"/>
            <w:r>
              <w:t xml:space="preserve"> до больного менее 20 минут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59.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Больничная летальность пострадавших в результате дорожно-транспортных происшествий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60.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Длительность ожидания высокотехнологичной медицинской помощи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дни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61.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Длительность ожидания консультации специалистов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дни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62.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Число исследований, проведенных с использованием технологий ядерной медицины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ед.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63.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Число больных, пролеченных с использованием технологий ядерной медицины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чел.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64.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 xml:space="preserve">Доля обследованных беременных женщин по новому алгоритму проведения комплексной </w:t>
            </w:r>
            <w:proofErr w:type="spellStart"/>
            <w:r>
              <w:t>пренатальной</w:t>
            </w:r>
            <w:proofErr w:type="spellEnd"/>
            <w:r>
              <w:t xml:space="preserve"> (дородовой) диагностики нарушений развития ребенка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lastRenderedPageBreak/>
              <w:t>65.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Охват неонатальным скринингом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доля (процент) новорожденных, обследованных на наследственные заболевания, от общего числа новорожденных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66.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 xml:space="preserve">Охват </w:t>
            </w:r>
            <w:proofErr w:type="spellStart"/>
            <w:r>
              <w:t>аудиологическим</w:t>
            </w:r>
            <w:proofErr w:type="spellEnd"/>
            <w:r>
              <w:t xml:space="preserve"> скринингом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 xml:space="preserve">доля (процент) новорожденных, обследованных на </w:t>
            </w:r>
            <w:proofErr w:type="spellStart"/>
            <w:r>
              <w:t>аудиологический</w:t>
            </w:r>
            <w:proofErr w:type="spellEnd"/>
            <w:r>
              <w:t xml:space="preserve"> скрининг от общего числа новорожденных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67.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Показатель ранней неонатальной смертности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случаев на 1000 родившихся живыми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68.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Смертность детей 0-17 лет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случаев на 10 000 населения соответствующего возраста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69.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 xml:space="preserve">Доля женщин с преждевременными родами, </w:t>
            </w:r>
            <w:proofErr w:type="spellStart"/>
            <w:r>
              <w:t>родоразрешенных</w:t>
            </w:r>
            <w:proofErr w:type="spellEnd"/>
            <w:r>
              <w:t xml:space="preserve"> в перинатальных центрах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 xml:space="preserve">доля (процент) женщин с преждевременными родами, которые были </w:t>
            </w:r>
            <w:proofErr w:type="spellStart"/>
            <w:r>
              <w:t>родоразрешены</w:t>
            </w:r>
            <w:proofErr w:type="spellEnd"/>
            <w:r>
              <w:t xml:space="preserve"> в перинатальных центрах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70.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Выживаемость детей, имевших при рождении очень низкую и экстремально низкую массу тела в акушерском стационаре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доля (</w:t>
            </w:r>
            <w:r w:rsidR="004F7D3E">
              <w:rPr>
                <w:position w:val="-10"/>
              </w:rPr>
              <w:pict>
                <v:shape id="_x0000_i1025" style="width:35.25pt;height:17.25pt" coordsize="" o:spt="100" adj="0,,0" path="" filled="f" stroked="f">
                  <v:stroke joinstyle="miter"/>
                  <v:imagedata r:id="rId14" o:title="base_18_56699_1"/>
                  <v:formulas/>
                  <v:path o:connecttype="segments"/>
                </v:shape>
              </w:pict>
            </w:r>
            <w:r>
              <w:t>) выживших от числа новорожденных, родившихся с низкой и экстремально низкой массой тела в акушерском стационаре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71.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Больничная летальность детей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доля (процент) умерших детей от числа поступивших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72.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Первичная инвалидность у детей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число детей, которым впервые установлена инвалидность (на 10 тыс. детей соответствующего возраста)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73.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 xml:space="preserve">Охват пар "мать - дитя" </w:t>
            </w:r>
            <w:proofErr w:type="spellStart"/>
            <w:r>
              <w:t>химиопрофилактикой</w:t>
            </w:r>
            <w:proofErr w:type="spellEnd"/>
            <w:r>
              <w:t xml:space="preserve"> в соответствии с действующими стандартами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74.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Охват санаторно-курортным лечением пациентов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Охват реабилитационной медицинской помощью пациентов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76.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Охват реабилитационной медицинской помощью детей-инвалидов от числа нуждающихся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процент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77.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Обеспеченность койками для оказания паллиативной помощи взрослым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коек/1 млн. взрослого населения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78.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Обеспеченность койками для оказания паллиативной помощи детям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коек/100 тыс. детского населения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79.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Расходы консолидированного бюджета субъекта Российской Федерации на здравоохранение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80.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Расходы консолидированного бюджета субъекта Российской Федерации на здравоохранение в части увеличения стоимости основных средств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81.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Расходы консолидированного бюджета субъекта Российской Федерации на здравоохранение в части текущих расходов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82.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Расходы консолидированного бюджета субъекта Российской Федерации на здравоохранение в части текущих расходов на оплату труда и начислений на оплату труда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214256" w:rsidTr="0025728D">
        <w:tc>
          <w:tcPr>
            <w:tcW w:w="373" w:type="pct"/>
          </w:tcPr>
          <w:p w:rsidR="00214256" w:rsidRDefault="00214256">
            <w:pPr>
              <w:pStyle w:val="ConsPlusNormal"/>
            </w:pPr>
            <w:r>
              <w:t>83.</w:t>
            </w:r>
          </w:p>
        </w:tc>
        <w:tc>
          <w:tcPr>
            <w:tcW w:w="3235" w:type="pct"/>
          </w:tcPr>
          <w:p w:rsidR="00214256" w:rsidRDefault="00214256">
            <w:pPr>
              <w:pStyle w:val="ConsPlusNormal"/>
            </w:pPr>
            <w:r>
              <w:t>Расходы территориальных государственных внебюджетных фондов</w:t>
            </w:r>
          </w:p>
        </w:tc>
        <w:tc>
          <w:tcPr>
            <w:tcW w:w="1391" w:type="pct"/>
          </w:tcPr>
          <w:p w:rsidR="00214256" w:rsidRDefault="00214256">
            <w:pPr>
              <w:pStyle w:val="ConsPlusNormal"/>
              <w:jc w:val="center"/>
            </w:pPr>
            <w:r>
              <w:t>тыс. рублей</w:t>
            </w:r>
          </w:p>
        </w:tc>
      </w:tr>
    </w:tbl>
    <w:p w:rsidR="00214256" w:rsidRDefault="00214256">
      <w:pPr>
        <w:pStyle w:val="ConsPlusNormal"/>
        <w:ind w:firstLine="540"/>
        <w:jc w:val="both"/>
      </w:pPr>
    </w:p>
    <w:p w:rsidR="00214256" w:rsidRDefault="00214256">
      <w:pPr>
        <w:pStyle w:val="ConsPlusNormal"/>
        <w:ind w:firstLine="540"/>
        <w:jc w:val="both"/>
      </w:pPr>
    </w:p>
    <w:sectPr w:rsidR="00214256" w:rsidSect="005620A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56"/>
    <w:rsid w:val="00214256"/>
    <w:rsid w:val="0025728D"/>
    <w:rsid w:val="004F7D3E"/>
    <w:rsid w:val="00891715"/>
    <w:rsid w:val="00A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8E890-F243-41E9-AAB2-7F87E629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AED83FADA77C37E9EEAF08EB228038FABF968310C5F309AF80580AD27FDEEG" TargetMode="External"/><Relationship Id="rId13" Type="http://schemas.openxmlformats.org/officeDocument/2006/relationships/hyperlink" Target="consultantplus://offline/ref=4DACFCDCCECCA1D493688AED83FADA77C5779EE8F28EB228038FABF968310C5F309AF80581A425FDE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ACFCDCCECCA1D493688AED83FADA77C37E9EEAF08EB228038FABF968310C5F309AF80580AC21FDE0G" TargetMode="External"/><Relationship Id="rId12" Type="http://schemas.openxmlformats.org/officeDocument/2006/relationships/hyperlink" Target="consultantplus://offline/ref=4DACFCDCCECCA1D493688AED83FADA77C67198E4F78EB228038FABF9F6E8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CFCDCCECCA1D493688AED83FADA77C4779CE4F08EB228038FABF968310C5F309AF80580AC20FDEAG" TargetMode="External"/><Relationship Id="rId11" Type="http://schemas.openxmlformats.org/officeDocument/2006/relationships/hyperlink" Target="consultantplus://offline/ref=4DACFCDCCECCA1D493688AED83FADA77C5779EE8F28EB228038FABF968310C5F309AF80580A428FDEBG" TargetMode="External"/><Relationship Id="rId5" Type="http://schemas.openxmlformats.org/officeDocument/2006/relationships/hyperlink" Target="consultantplus://offline/ref=4DACFCDCCECCA1D493688AED83FADA77C4719DEAF28EB228038FABF968310C5F309AF80580AC23FDED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ACFCDCCECCA1D493688BE990FADA77C17292EDF581EF220BD6A7FB6F3E534837D3F40480AC21D9FBEAG" TargetMode="External"/><Relationship Id="rId4" Type="http://schemas.openxmlformats.org/officeDocument/2006/relationships/hyperlink" Target="consultantplus://offline/ref=4DACFCDCCECCA1D493688AED83FADA77C4719DEAF28EB228038FABF968310C5F309AF80580AC23FDEDG" TargetMode="External"/><Relationship Id="rId9" Type="http://schemas.openxmlformats.org/officeDocument/2006/relationships/hyperlink" Target="consultantplus://offline/ref=4DACFCDCCECCA1D493688BE990FADA77C97199EEF18EB228038FABF968310C5F309AF80580AC21FDE1G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3625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Буклешева Марина Сергеевна</dc:creator>
  <cp:keywords/>
  <dc:description/>
  <cp:lastModifiedBy>Буклешева Марина Сергеевна</cp:lastModifiedBy>
  <cp:revision>5</cp:revision>
  <dcterms:created xsi:type="dcterms:W3CDTF">2016-01-31T06:04:00Z</dcterms:created>
  <dcterms:modified xsi:type="dcterms:W3CDTF">2016-01-31T10:55:00Z</dcterms:modified>
</cp:coreProperties>
</file>